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4C4DC" w14:textId="77777777" w:rsidR="00FF30C0" w:rsidRDefault="00FF30C0" w:rsidP="00FF30C0">
      <w:pPr>
        <w:pStyle w:val="Heading5"/>
      </w:pPr>
      <w:bookmarkStart w:id="0" w:name="_Toc445985750"/>
      <w:bookmarkStart w:id="1" w:name="_Toc455998714"/>
    </w:p>
    <w:p w14:paraId="3F6D2B63" w14:textId="77777777" w:rsidR="008829B0" w:rsidRDefault="008829B0" w:rsidP="00972E7A">
      <w:pPr>
        <w:pStyle w:val="Heading1"/>
      </w:pPr>
    </w:p>
    <w:p w14:paraId="5A263E52" w14:textId="77777777" w:rsidR="008829B0" w:rsidRDefault="008829B0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70A41355" w14:textId="77777777" w:rsidR="00595D39" w:rsidRPr="00F22D6F" w:rsidRDefault="00595D39" w:rsidP="00595D39">
      <w:pPr>
        <w:pStyle w:val="Heading2"/>
      </w:pPr>
      <w:bookmarkStart w:id="2" w:name="_Toc455998717"/>
      <w:bookmarkEnd w:id="0"/>
      <w:bookmarkEnd w:id="1"/>
      <w:r w:rsidRPr="00F22D6F">
        <w:t xml:space="preserve">Regulation </w:t>
      </w:r>
      <w:r>
        <w:t>9: Allocating work to competent employees or contractors</w:t>
      </w:r>
      <w:bookmarkEnd w:id="2"/>
    </w:p>
    <w:p w14:paraId="22EC50A9" w14:textId="6B8C56E9" w:rsidR="00595D39" w:rsidRDefault="00595D39" w:rsidP="00B20930">
      <w:pPr>
        <w:pStyle w:val="Heading3"/>
      </w:pPr>
      <w:r>
        <w:t>Minimum criteria for accreditation against regulation 9</w:t>
      </w:r>
    </w:p>
    <w:p w14:paraId="6E5FAF31" w14:textId="67D0D07A" w:rsidR="00F47C22" w:rsidRPr="00F47C22" w:rsidRDefault="00F47C22" w:rsidP="00F47C22">
      <w:pPr>
        <w:pStyle w:val="Heading4"/>
        <w:rPr>
          <w:lang w:val="en-GB"/>
        </w:rPr>
      </w:pPr>
      <w:r>
        <w:rPr>
          <w:lang w:val="en-GB"/>
        </w:rPr>
        <w:t>Classifying building control work</w:t>
      </w:r>
    </w:p>
    <w:p w14:paraId="54243B19" w14:textId="51C38B9E" w:rsidR="005C64A4" w:rsidRDefault="006F5D0D" w:rsidP="006C0D9F">
      <w:pPr>
        <w:ind w:left="720" w:hanging="720"/>
      </w:pPr>
      <w:sdt>
        <w:sdtPr>
          <w:id w:val="175230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9F">
            <w:rPr>
              <w:rFonts w:ascii="MS Gothic" w:eastAsia="MS Gothic" w:hAnsi="MS Gothic" w:hint="eastAsia"/>
            </w:rPr>
            <w:t>☐</w:t>
          </w:r>
        </w:sdtContent>
      </w:sdt>
      <w:r w:rsidR="006C0D9F">
        <w:tab/>
      </w:r>
      <w:r w:rsidR="005C64A4" w:rsidRPr="00422276">
        <w:t>The BCA</w:t>
      </w:r>
      <w:r w:rsidR="005B65FB">
        <w:t xml:space="preserve"> </w:t>
      </w:r>
      <w:r w:rsidR="00F84FCA">
        <w:t>classifies all</w:t>
      </w:r>
      <w:r w:rsidR="005C64A4" w:rsidRPr="005C64A4">
        <w:t xml:space="preserve"> building control work consistently with the National BCA competency assessment system assessment levels</w:t>
      </w:r>
      <w:r w:rsidR="00A801D5">
        <w:t xml:space="preserve"> (NB – it is not yet mandatory to use NCAS. The current test is that the classification system for building work matches up to the defined competency assessment system used for employees and contractors)</w:t>
      </w:r>
    </w:p>
    <w:p w14:paraId="32492864" w14:textId="5B1A8DAF" w:rsidR="006C0D9F" w:rsidRDefault="006C0D9F" w:rsidP="00566803">
      <w:pPr>
        <w:pStyle w:val="Heading4"/>
        <w:jc w:val="left"/>
      </w:pPr>
      <w:r>
        <w:t xml:space="preserve">Notes: </w:t>
      </w:r>
      <w:sdt>
        <w:sdtPr>
          <w:id w:val="1669127541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1FC37E20" w14:textId="30CC1DF0" w:rsidR="005B65FB" w:rsidRPr="005B65FB" w:rsidRDefault="00A53E60" w:rsidP="00A53E60">
      <w:pPr>
        <w:pStyle w:val="Heading4"/>
        <w:rPr>
          <w:lang w:val="en-GB"/>
        </w:rPr>
      </w:pPr>
      <w:r>
        <w:rPr>
          <w:lang w:val="en-GB"/>
        </w:rPr>
        <w:t>Allocating building control work to competent employees and/or contractors</w:t>
      </w:r>
    </w:p>
    <w:p w14:paraId="0CFC1AA9" w14:textId="49BEA83E" w:rsidR="005C64A4" w:rsidRPr="005C64A4" w:rsidRDefault="006F5D0D" w:rsidP="006C0D9F">
      <w:sdt>
        <w:sdtPr>
          <w:id w:val="-18588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9F">
            <w:rPr>
              <w:rFonts w:ascii="MS Gothic" w:eastAsia="MS Gothic" w:hAnsi="MS Gothic" w:hint="eastAsia"/>
            </w:rPr>
            <w:t>☐</w:t>
          </w:r>
        </w:sdtContent>
      </w:sdt>
      <w:r w:rsidR="006C0D9F">
        <w:t xml:space="preserve"> </w:t>
      </w:r>
      <w:r w:rsidR="006C0D9F">
        <w:tab/>
      </w:r>
      <w:r w:rsidR="00A53E60">
        <w:t xml:space="preserve">The BCA </w:t>
      </w:r>
      <w:r w:rsidR="008944EE">
        <w:t>allocates work to competent or supervised employees and contractors</w:t>
      </w:r>
    </w:p>
    <w:p w14:paraId="2F5FFEB2" w14:textId="363395D5" w:rsidR="005C64A4" w:rsidRDefault="005C64A4" w:rsidP="00566803">
      <w:pPr>
        <w:pStyle w:val="Heading4"/>
        <w:jc w:val="left"/>
      </w:pPr>
      <w:r>
        <w:t>Notes:</w:t>
      </w:r>
      <w:r w:rsidR="006C0D9F">
        <w:t xml:space="preserve"> </w:t>
      </w:r>
      <w:sdt>
        <w:sdtPr>
          <w:id w:val="1174533676"/>
          <w:showingPlcHdr/>
        </w:sdtPr>
        <w:sdtEndPr/>
        <w:sdtContent>
          <w:r w:rsidR="006C0D9F" w:rsidRPr="00FA6881">
            <w:rPr>
              <w:rStyle w:val="PlaceholderText"/>
            </w:rPr>
            <w:t>Click here to enter text.</w:t>
          </w:r>
        </w:sdtContent>
      </w:sdt>
    </w:p>
    <w:p w14:paraId="10BAB8E0" w14:textId="77777777" w:rsidR="005C64A4" w:rsidRDefault="005C64A4" w:rsidP="007627A2">
      <w:pPr>
        <w:rPr>
          <w:lang w:eastAsia="en-GB"/>
        </w:rPr>
      </w:pPr>
    </w:p>
    <w:p w14:paraId="0C917839" w14:textId="7176E0AC" w:rsidR="00F47C22" w:rsidRPr="00972E7A" w:rsidRDefault="006F5D0D" w:rsidP="00F47C22">
      <w:hyperlink r:id="rId9" w:history="1">
        <w:r w:rsidR="00F47C22" w:rsidRPr="006C0D9F">
          <w:rPr>
            <w:rStyle w:val="Hyperlink"/>
          </w:rPr>
          <w:t>Regulation 9 regulatory guidance</w:t>
        </w:r>
      </w:hyperlink>
      <w:r w:rsidR="00F47C22">
        <w:t xml:space="preserve"> provides further information.</w:t>
      </w:r>
    </w:p>
    <w:p w14:paraId="4B192696" w14:textId="77777777" w:rsidR="00F47C22" w:rsidRPr="005C64A4" w:rsidRDefault="00F47C22" w:rsidP="00F47C22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1EEA197E" w14:textId="77777777" w:rsidR="00F47C22" w:rsidRDefault="00F47C22" w:rsidP="00F47C22">
      <w:r>
        <w:t>The following activities are not subject to the requirements of regulation 9:</w:t>
      </w:r>
    </w:p>
    <w:p w14:paraId="15E0B7D0" w14:textId="5123DCCE" w:rsidR="00F47C22" w:rsidRDefault="007F330B" w:rsidP="00F47C22">
      <w:pPr>
        <w:pStyle w:val="BCAdotpoints"/>
      </w:pPr>
      <w:r>
        <w:t xml:space="preserve">receiving and </w:t>
      </w:r>
      <w:r w:rsidR="00F47C22">
        <w:t>accepting building consent or code compliance certificate applications</w:t>
      </w:r>
    </w:p>
    <w:p w14:paraId="68F87383" w14:textId="77777777" w:rsidR="00F47C22" w:rsidRDefault="00F47C22" w:rsidP="00F47C22">
      <w:pPr>
        <w:pStyle w:val="BCAdotpoints"/>
      </w:pPr>
      <w:r>
        <w:t xml:space="preserve">checking building consent applications to ensure that they contain all the required information </w:t>
      </w:r>
    </w:p>
    <w:p w14:paraId="1E745756" w14:textId="77777777" w:rsidR="00F47C22" w:rsidRPr="00EA0029" w:rsidRDefault="00F47C22" w:rsidP="00F47C22">
      <w:pPr>
        <w:pStyle w:val="BCAdotpoints"/>
      </w:pPr>
      <w:r w:rsidRPr="00EA0029">
        <w:t>classifying work</w:t>
      </w:r>
      <w:r>
        <w:t xml:space="preserve"> according to the BCA’s classification framework</w:t>
      </w:r>
    </w:p>
    <w:p w14:paraId="7047438C" w14:textId="77777777" w:rsidR="00F47C22" w:rsidRDefault="00F47C22" w:rsidP="00F47C22">
      <w:pPr>
        <w:pStyle w:val="BCAdotpoints"/>
      </w:pPr>
      <w:r>
        <w:t>allocating applications or inspection appointments to competent employees or contractors</w:t>
      </w:r>
    </w:p>
    <w:p w14:paraId="78F752BC" w14:textId="77777777" w:rsidR="00F47C22" w:rsidRPr="0073417A" w:rsidRDefault="00F47C22" w:rsidP="00F47C22">
      <w:pPr>
        <w:pStyle w:val="BCAdotpoints"/>
      </w:pPr>
      <w:r>
        <w:t>accepting and making inspection bookings</w:t>
      </w:r>
    </w:p>
    <w:p w14:paraId="2779B126" w14:textId="1EF48EE1" w:rsidR="007627A2" w:rsidRDefault="00F47C22" w:rsidP="007627A2">
      <w:pPr>
        <w:pStyle w:val="BCAdotpoints"/>
      </w:pPr>
      <w:proofErr w:type="gramStart"/>
      <w:r>
        <w:t>printing</w:t>
      </w:r>
      <w:proofErr w:type="gramEnd"/>
      <w:r>
        <w:t xml:space="preserve"> and sending consents or code compliance certificates to applicants or owners.</w:t>
      </w:r>
    </w:p>
    <w:p w14:paraId="00BAAF8B" w14:textId="795FBE5B" w:rsidR="00BF2003" w:rsidRDefault="00BF2003" w:rsidP="00BF2003">
      <w:r w:rsidRPr="00BF2003">
        <w:t xml:space="preserve">Where the work is performed by another BCA, it is sufficient for the primary BCA to simply record the name of the BCA, not the individual </w:t>
      </w:r>
      <w:r w:rsidR="000A1100">
        <w:t>staff member</w:t>
      </w:r>
      <w:r w:rsidRPr="00BF2003">
        <w:t xml:space="preserve"> performing the building control function</w:t>
      </w:r>
      <w:r>
        <w:t>.</w:t>
      </w:r>
    </w:p>
    <w:p w14:paraId="6E6B08FA" w14:textId="77777777" w:rsidR="00A801D5" w:rsidRDefault="00A801D5" w:rsidP="00BF2003"/>
    <w:p w14:paraId="38571603" w14:textId="77777777" w:rsidR="00A801D5" w:rsidRDefault="00A801D5" w:rsidP="00BF2003"/>
    <w:p w14:paraId="77E2B0B8" w14:textId="77777777" w:rsidR="00A801D5" w:rsidRPr="00566803" w:rsidRDefault="00A801D5" w:rsidP="00A801D5">
      <w:pPr>
        <w:keepNext/>
        <w:rPr>
          <w:b/>
          <w:u w:val="single"/>
        </w:rPr>
      </w:pPr>
      <w:r w:rsidRPr="00B66B95">
        <w:rPr>
          <w:u w:val="single"/>
        </w:rPr>
        <w:t>Ev</w:t>
      </w:r>
      <w:r w:rsidRPr="00566803">
        <w:rPr>
          <w:b/>
          <w:u w:val="single"/>
        </w:rPr>
        <w:t>idence of Policy/Procedure/System being completely and effectively implemented</w:t>
      </w:r>
    </w:p>
    <w:p w14:paraId="4EA289A4" w14:textId="77777777" w:rsidR="00A801D5" w:rsidRDefault="00A801D5" w:rsidP="00566803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b/>
            <w:i/>
          </w:rPr>
          <w:id w:val="1928456301"/>
          <w:showingPlcHdr/>
        </w:sdtPr>
        <w:sdtEndPr/>
        <w:sdtContent>
          <w:r w:rsidRPr="00566803">
            <w:rPr>
              <w:rStyle w:val="PlaceholderText"/>
              <w:b/>
              <w:i/>
            </w:rPr>
            <w:t>Click here to enter text.</w:t>
          </w:r>
        </w:sdtContent>
      </w:sdt>
    </w:p>
    <w:p w14:paraId="25102831" w14:textId="77777777" w:rsidR="00A801D5" w:rsidRPr="00BF2003" w:rsidRDefault="00A801D5" w:rsidP="00BF2003">
      <w:pPr>
        <w:rPr>
          <w:lang w:val="en-GB" w:eastAsia="en-AU"/>
        </w:rPr>
      </w:pPr>
    </w:p>
    <w:sectPr w:rsidR="00A801D5" w:rsidRPr="00BF2003" w:rsidSect="008829B0">
      <w:headerReference w:type="default" r:id="rId10"/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10A26" w14:textId="77777777" w:rsidR="00A801D5" w:rsidRDefault="00A801D5" w:rsidP="00B63172">
      <w:pPr>
        <w:spacing w:before="0" w:after="0" w:line="240" w:lineRule="auto"/>
      </w:pPr>
      <w:r>
        <w:separator/>
      </w:r>
    </w:p>
  </w:endnote>
  <w:endnote w:type="continuationSeparator" w:id="0">
    <w:p w14:paraId="1671C25C" w14:textId="77777777" w:rsidR="00A801D5" w:rsidRDefault="00A801D5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3FC0F930" w14:textId="77777777" w:rsidR="00A801D5" w:rsidRDefault="00A801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CA3F" w14:textId="4AE2A226" w:rsidR="006F5D0D" w:rsidRDefault="006F5D0D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E878" w14:textId="77777777" w:rsidR="00A801D5" w:rsidRDefault="00A801D5" w:rsidP="00B63172">
      <w:pPr>
        <w:spacing w:before="0" w:after="0" w:line="240" w:lineRule="auto"/>
      </w:pPr>
      <w:r>
        <w:separator/>
      </w:r>
    </w:p>
  </w:footnote>
  <w:footnote w:type="continuationSeparator" w:id="0">
    <w:p w14:paraId="62F17960" w14:textId="77777777" w:rsidR="00A801D5" w:rsidRDefault="00A801D5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3BC54C72" w14:textId="77777777" w:rsidR="00A801D5" w:rsidRDefault="00A801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B74E" w14:textId="322D833C" w:rsidR="00A801D5" w:rsidRPr="00FF30C0" w:rsidRDefault="00FF30C0" w:rsidP="00FF30C0">
    <w:pPr>
      <w:pStyle w:val="Header"/>
    </w:pPr>
    <w:r w:rsidRPr="00FF30C0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8574B25" wp14:editId="00D8C5B1">
          <wp:simplePos x="0" y="0"/>
          <wp:positionH relativeFrom="column">
            <wp:posOffset>4349115</wp:posOffset>
          </wp:positionH>
          <wp:positionV relativeFrom="paragraph">
            <wp:posOffset>-1546225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30C0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5F2785E1" wp14:editId="3A6647AF">
          <wp:simplePos x="0" y="0"/>
          <wp:positionH relativeFrom="column">
            <wp:posOffset>38735</wp:posOffset>
          </wp:positionH>
          <wp:positionV relativeFrom="paragraph">
            <wp:posOffset>302260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16F4BB4"/>
    <w:multiLevelType w:val="hybridMultilevel"/>
    <w:tmpl w:val="1BF6F2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2"/>
  </w:num>
  <w:num w:numId="7">
    <w:abstractNumId w:val="54"/>
  </w:num>
  <w:num w:numId="8">
    <w:abstractNumId w:val="52"/>
  </w:num>
  <w:num w:numId="9">
    <w:abstractNumId w:val="95"/>
  </w:num>
  <w:num w:numId="10">
    <w:abstractNumId w:val="104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79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4"/>
  </w:num>
  <w:num w:numId="21">
    <w:abstractNumId w:val="108"/>
  </w:num>
  <w:num w:numId="22">
    <w:abstractNumId w:val="12"/>
  </w:num>
  <w:num w:numId="23">
    <w:abstractNumId w:val="62"/>
  </w:num>
  <w:num w:numId="24">
    <w:abstractNumId w:val="1"/>
  </w:num>
  <w:num w:numId="25">
    <w:abstractNumId w:val="94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4"/>
    <w:lvlOverride w:ilvl="0">
      <w:startOverride w:val="1"/>
    </w:lvlOverride>
  </w:num>
  <w:num w:numId="32">
    <w:abstractNumId w:val="87"/>
  </w:num>
  <w:num w:numId="33">
    <w:abstractNumId w:val="67"/>
  </w:num>
  <w:num w:numId="34">
    <w:abstractNumId w:val="5"/>
  </w:num>
  <w:num w:numId="35">
    <w:abstractNumId w:val="77"/>
  </w:num>
  <w:num w:numId="36">
    <w:abstractNumId w:val="21"/>
  </w:num>
  <w:num w:numId="37">
    <w:abstractNumId w:val="14"/>
  </w:num>
  <w:num w:numId="38">
    <w:abstractNumId w:val="72"/>
  </w:num>
  <w:num w:numId="39">
    <w:abstractNumId w:val="98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09"/>
  </w:num>
  <w:num w:numId="46">
    <w:abstractNumId w:val="83"/>
  </w:num>
  <w:num w:numId="47">
    <w:abstractNumId w:val="100"/>
  </w:num>
  <w:num w:numId="48">
    <w:abstractNumId w:val="81"/>
  </w:num>
  <w:num w:numId="49">
    <w:abstractNumId w:val="23"/>
  </w:num>
  <w:num w:numId="50">
    <w:abstractNumId w:val="36"/>
  </w:num>
  <w:num w:numId="51">
    <w:abstractNumId w:val="55"/>
  </w:num>
  <w:num w:numId="52">
    <w:abstractNumId w:val="97"/>
  </w:num>
  <w:num w:numId="53">
    <w:abstractNumId w:val="51"/>
  </w:num>
  <w:num w:numId="54">
    <w:abstractNumId w:val="88"/>
  </w:num>
  <w:num w:numId="55">
    <w:abstractNumId w:val="20"/>
  </w:num>
  <w:num w:numId="56">
    <w:abstractNumId w:val="45"/>
  </w:num>
  <w:num w:numId="57">
    <w:abstractNumId w:val="30"/>
  </w:num>
  <w:num w:numId="58">
    <w:abstractNumId w:val="103"/>
  </w:num>
  <w:num w:numId="59">
    <w:abstractNumId w:val="65"/>
  </w:num>
  <w:num w:numId="60">
    <w:abstractNumId w:val="102"/>
  </w:num>
  <w:num w:numId="61">
    <w:abstractNumId w:val="10"/>
  </w:num>
  <w:num w:numId="62">
    <w:abstractNumId w:val="69"/>
  </w:num>
  <w:num w:numId="63">
    <w:abstractNumId w:val="73"/>
  </w:num>
  <w:num w:numId="64">
    <w:abstractNumId w:val="24"/>
  </w:num>
  <w:num w:numId="65">
    <w:abstractNumId w:val="104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6"/>
  </w:num>
  <w:num w:numId="72">
    <w:abstractNumId w:val="92"/>
  </w:num>
  <w:num w:numId="73">
    <w:abstractNumId w:val="19"/>
  </w:num>
  <w:num w:numId="74">
    <w:abstractNumId w:val="66"/>
  </w:num>
  <w:num w:numId="75">
    <w:abstractNumId w:val="104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7"/>
  </w:num>
  <w:num w:numId="79">
    <w:abstractNumId w:val="101"/>
  </w:num>
  <w:num w:numId="80">
    <w:abstractNumId w:val="71"/>
  </w:num>
  <w:num w:numId="81">
    <w:abstractNumId w:val="64"/>
  </w:num>
  <w:num w:numId="82">
    <w:abstractNumId w:val="85"/>
  </w:num>
  <w:num w:numId="83">
    <w:abstractNumId w:val="43"/>
  </w:num>
  <w:num w:numId="84">
    <w:abstractNumId w:val="47"/>
  </w:num>
  <w:num w:numId="85">
    <w:abstractNumId w:val="39"/>
  </w:num>
  <w:num w:numId="86">
    <w:abstractNumId w:val="78"/>
  </w:num>
  <w:num w:numId="87">
    <w:abstractNumId w:val="76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5"/>
  </w:num>
  <w:num w:numId="96">
    <w:abstractNumId w:val="59"/>
  </w:num>
  <w:num w:numId="97">
    <w:abstractNumId w:val="7"/>
  </w:num>
  <w:num w:numId="98">
    <w:abstractNumId w:val="68"/>
  </w:num>
  <w:num w:numId="99">
    <w:abstractNumId w:val="86"/>
  </w:num>
  <w:num w:numId="100">
    <w:abstractNumId w:val="93"/>
  </w:num>
  <w:num w:numId="101">
    <w:abstractNumId w:val="96"/>
  </w:num>
  <w:num w:numId="102">
    <w:abstractNumId w:val="90"/>
  </w:num>
  <w:num w:numId="103">
    <w:abstractNumId w:val="58"/>
  </w:num>
  <w:num w:numId="104">
    <w:abstractNumId w:val="80"/>
  </w:num>
  <w:num w:numId="105">
    <w:abstractNumId w:val="63"/>
  </w:num>
  <w:num w:numId="106">
    <w:abstractNumId w:val="44"/>
  </w:num>
  <w:num w:numId="107">
    <w:abstractNumId w:val="99"/>
  </w:num>
  <w:num w:numId="108">
    <w:abstractNumId w:val="40"/>
  </w:num>
  <w:num w:numId="109">
    <w:abstractNumId w:val="13"/>
  </w:num>
  <w:num w:numId="110">
    <w:abstractNumId w:val="91"/>
  </w:num>
  <w:num w:numId="111">
    <w:abstractNumId w:val="75"/>
  </w:num>
  <w:num w:numId="112">
    <w:abstractNumId w:val="74"/>
  </w:num>
  <w:num w:numId="113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n4FNcgQTDKU9REz5yq0frSxHHf4=" w:salt="cnn4yb64sOejZh2tjXotlA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92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48C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8D3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D8E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1100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4F3A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1FA7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019C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97CF1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2276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CC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36D3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680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5FB"/>
    <w:rsid w:val="005B6CA7"/>
    <w:rsid w:val="005C38F7"/>
    <w:rsid w:val="005C4487"/>
    <w:rsid w:val="005C4DA1"/>
    <w:rsid w:val="005C50E2"/>
    <w:rsid w:val="005C54E1"/>
    <w:rsid w:val="005C6240"/>
    <w:rsid w:val="005C64A4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26F0B"/>
    <w:rsid w:val="006307F0"/>
    <w:rsid w:val="006331C1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0D9F"/>
    <w:rsid w:val="006C1B05"/>
    <w:rsid w:val="006C2C1B"/>
    <w:rsid w:val="006C35CE"/>
    <w:rsid w:val="006C3A9E"/>
    <w:rsid w:val="006C4F7C"/>
    <w:rsid w:val="006C599E"/>
    <w:rsid w:val="006C7728"/>
    <w:rsid w:val="006D000D"/>
    <w:rsid w:val="006D0822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5D0D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45F49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27A2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30B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0B3E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4CC8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29B0"/>
    <w:rsid w:val="00884A54"/>
    <w:rsid w:val="008873A2"/>
    <w:rsid w:val="008928B1"/>
    <w:rsid w:val="00892D5F"/>
    <w:rsid w:val="008944EE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6AE5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5FE8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4CAB"/>
    <w:rsid w:val="00A457E7"/>
    <w:rsid w:val="00A46584"/>
    <w:rsid w:val="00A51EF2"/>
    <w:rsid w:val="00A53E60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1D5"/>
    <w:rsid w:val="00A803EC"/>
    <w:rsid w:val="00A80795"/>
    <w:rsid w:val="00A82F06"/>
    <w:rsid w:val="00A84F7F"/>
    <w:rsid w:val="00A865AC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0930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2AA6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003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588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AD4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5C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38E0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47C22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5D98"/>
    <w:rsid w:val="00F66D96"/>
    <w:rsid w:val="00F66E93"/>
    <w:rsid w:val="00F67985"/>
    <w:rsid w:val="00F709F0"/>
    <w:rsid w:val="00F71253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4FC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0F6B"/>
    <w:rsid w:val="00FE1802"/>
    <w:rsid w:val="00FE3AA0"/>
    <w:rsid w:val="00FE41B4"/>
    <w:rsid w:val="00FE4385"/>
    <w:rsid w:val="00FE4934"/>
    <w:rsid w:val="00FE61C0"/>
    <w:rsid w:val="00FE7944"/>
    <w:rsid w:val="00FF2AC6"/>
    <w:rsid w:val="00FF2ADE"/>
    <w:rsid w:val="00FF30C0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6C0D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6C0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9-allocate-work-competent-employees-contracto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D507-99F9-4217-8804-9DD42F37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15</TotalTime>
  <Pages>1</Pages>
  <Words>234</Words>
  <Characters>1435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9 – Allocating work to competent employees or contractors</vt:lpstr>
    </vt:vector>
  </TitlesOfParts>
  <Manager>45314211</Manager>
  <Company>Ministry of Business, Innovation and Employment</Company>
  <LinksUpToDate>false</LinksUpToDate>
  <CharactersWithSpaces>1657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9 – Allocating work to competent employees or contractors</dc:title>
  <dc:creator/>
  <dc:description/>
  <cp:lastModifiedBy>Penelope Whitson</cp:lastModifiedBy>
  <cp:revision>10</cp:revision>
  <cp:lastPrinted>2016-12-22T22:27:00Z</cp:lastPrinted>
  <dcterms:created xsi:type="dcterms:W3CDTF">2017-09-24T20:24:00Z</dcterms:created>
  <dcterms:modified xsi:type="dcterms:W3CDTF">2017-11-16T21:38:00Z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