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2D45" w14:textId="77777777" w:rsidR="009219D0" w:rsidRDefault="009219D0" w:rsidP="00896D3A">
      <w:pPr>
        <w:pStyle w:val="Heading1"/>
      </w:pPr>
      <w:bookmarkStart w:id="0" w:name="_Toc445985750"/>
      <w:bookmarkStart w:id="1" w:name="_Toc455998714"/>
    </w:p>
    <w:p w14:paraId="725C534B" w14:textId="77777777" w:rsidR="00896D3A" w:rsidRDefault="00896D3A" w:rsidP="00896D3A">
      <w:pPr>
        <w:pStyle w:val="Heading1"/>
      </w:pPr>
    </w:p>
    <w:p w14:paraId="5DA04246" w14:textId="77777777" w:rsidR="00896D3A" w:rsidRPr="00896D3A" w:rsidRDefault="00896D3A" w:rsidP="00896D3A"/>
    <w:p w14:paraId="7B7F1C9E" w14:textId="1B6FBCC4" w:rsidR="00972E7A" w:rsidRDefault="00972E7A" w:rsidP="00896D3A">
      <w:pPr>
        <w:pStyle w:val="Heading1"/>
      </w:pPr>
      <w:r>
        <w:t>BCA accreditation scheme checklist</w:t>
      </w:r>
    </w:p>
    <w:p w14:paraId="721D6B7F" w14:textId="77777777" w:rsidR="00401580" w:rsidRPr="00F22D6F" w:rsidRDefault="00401580" w:rsidP="00401580">
      <w:pPr>
        <w:pStyle w:val="Heading2"/>
      </w:pPr>
      <w:r w:rsidRPr="00F22D6F">
        <w:t>Regulation 14</w:t>
      </w:r>
      <w:r>
        <w:t>: Ensuring necessary technical resources</w:t>
      </w:r>
    </w:p>
    <w:bookmarkEnd w:id="0"/>
    <w:bookmarkEnd w:id="1"/>
    <w:p w14:paraId="4BBD31E0" w14:textId="77777777" w:rsidR="00401580" w:rsidRDefault="00401580" w:rsidP="00401580">
      <w:pPr>
        <w:pStyle w:val="Heading3"/>
      </w:pPr>
      <w:r>
        <w:t>Minimum criteria for accreditation against regulation 14</w:t>
      </w:r>
    </w:p>
    <w:p w14:paraId="4C13F602" w14:textId="34D186AA" w:rsidR="00062DBC" w:rsidRPr="00062DBC" w:rsidRDefault="00062DBC" w:rsidP="00062DBC">
      <w:pPr>
        <w:pStyle w:val="Heading4"/>
        <w:rPr>
          <w:lang w:val="en-GB"/>
        </w:rPr>
      </w:pPr>
      <w:r>
        <w:rPr>
          <w:lang w:val="en-GB"/>
        </w:rPr>
        <w:t>Ensuring technical resources are available</w:t>
      </w:r>
    </w:p>
    <w:p w14:paraId="0EAACE0D" w14:textId="6CA3C76A" w:rsidR="000A5F2E" w:rsidRPr="002004B7" w:rsidRDefault="000A5F2E" w:rsidP="00ED002E">
      <w:pPr>
        <w:pStyle w:val="BCAdotpoints"/>
        <w:numPr>
          <w:ilvl w:val="0"/>
          <w:numId w:val="0"/>
        </w:numPr>
        <w:ind w:left="360" w:hanging="360"/>
        <w:rPr>
          <w:rFonts w:cs="Univers 45 Light"/>
          <w:spacing w:val="1"/>
        </w:rPr>
      </w:pPr>
      <w:r>
        <w:t>The BCA:</w:t>
      </w:r>
    </w:p>
    <w:p w14:paraId="107F9246" w14:textId="4E931325" w:rsidR="00E51AA3" w:rsidRDefault="008A50B9" w:rsidP="00351D24">
      <w:pPr>
        <w:ind w:left="709" w:hanging="709"/>
      </w:pPr>
      <w:sdt>
        <w:sdtPr>
          <w:id w:val="-165166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A3">
            <w:rPr>
              <w:rFonts w:ascii="MS Gothic" w:eastAsia="MS Gothic" w:hAnsi="MS Gothic" w:hint="eastAsia"/>
            </w:rPr>
            <w:t>☐</w:t>
          </w:r>
        </w:sdtContent>
      </w:sdt>
      <w:r w:rsidR="00ED002E">
        <w:tab/>
      </w:r>
      <w:proofErr w:type="gramStart"/>
      <w:r w:rsidR="00E51AA3">
        <w:t>identifies</w:t>
      </w:r>
      <w:proofErr w:type="gramEnd"/>
      <w:r w:rsidR="00E51AA3">
        <w:t xml:space="preserve"> the information, facilities and equipment</w:t>
      </w:r>
      <w:r w:rsidR="00970942">
        <w:t xml:space="preserve"> available and accessible to employees and contractors performing building control functions</w:t>
      </w:r>
    </w:p>
    <w:p w14:paraId="49AF91A1" w14:textId="190E3FD1" w:rsidR="000A5F2E" w:rsidRDefault="008A50B9" w:rsidP="00ED002E">
      <w:pPr>
        <w:rPr>
          <w:rFonts w:cs="Univers 45 Light"/>
          <w:spacing w:val="1"/>
        </w:rPr>
      </w:pPr>
      <w:sdt>
        <w:sdtPr>
          <w:id w:val="-50736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A3">
            <w:rPr>
              <w:rFonts w:ascii="MS Gothic" w:eastAsia="MS Gothic" w:hAnsi="MS Gothic" w:hint="eastAsia"/>
            </w:rPr>
            <w:t>☐</w:t>
          </w:r>
        </w:sdtContent>
      </w:sdt>
      <w:r w:rsidR="00E51AA3">
        <w:t xml:space="preserve"> </w:t>
      </w:r>
      <w:r w:rsidR="00E51AA3">
        <w:tab/>
      </w:r>
      <w:proofErr w:type="gramStart"/>
      <w:r w:rsidR="000A5F2E">
        <w:t>record</w:t>
      </w:r>
      <w:r w:rsidR="00062DBC">
        <w:t>s</w:t>
      </w:r>
      <w:proofErr w:type="gramEnd"/>
      <w:r w:rsidR="000A5F2E">
        <w:t xml:space="preserve"> the information, facilities and equipment available to employees and contractors</w:t>
      </w:r>
    </w:p>
    <w:p w14:paraId="251303C4" w14:textId="2EC75DBF" w:rsidR="00ED002E" w:rsidRDefault="008A50B9" w:rsidP="00ED002E">
      <w:pPr>
        <w:ind w:left="720" w:hanging="720"/>
      </w:pPr>
      <w:sdt>
        <w:sdtPr>
          <w:id w:val="-202994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2E">
            <w:rPr>
              <w:rFonts w:ascii="MS Gothic" w:eastAsia="MS Gothic" w:hAnsi="MS Gothic" w:hint="eastAsia"/>
            </w:rPr>
            <w:t>☐</w:t>
          </w:r>
        </w:sdtContent>
      </w:sdt>
      <w:r w:rsidR="00ED002E">
        <w:tab/>
      </w:r>
      <w:proofErr w:type="gramStart"/>
      <w:r w:rsidR="000A5F2E">
        <w:t>determine</w:t>
      </w:r>
      <w:r w:rsidR="00062DBC">
        <w:t>s</w:t>
      </w:r>
      <w:proofErr w:type="gramEnd"/>
      <w:r w:rsidR="000A5F2E">
        <w:t xml:space="preserve"> the information and equipment that a contractor </w:t>
      </w:r>
      <w:r w:rsidR="00062DBC">
        <w:t>is</w:t>
      </w:r>
      <w:r w:rsidR="000A5F2E">
        <w:t xml:space="preserve"> required to provide </w:t>
      </w:r>
    </w:p>
    <w:p w14:paraId="65843A89" w14:textId="77777777" w:rsidR="00ED002E" w:rsidRDefault="00ED002E" w:rsidP="00351D24">
      <w:pPr>
        <w:pStyle w:val="Heading4"/>
        <w:jc w:val="left"/>
      </w:pPr>
      <w:r>
        <w:t xml:space="preserve">Notes: </w:t>
      </w:r>
      <w:sdt>
        <w:sdtPr>
          <w:id w:val="-1947840906"/>
          <w:showingPlcHdr/>
        </w:sdtPr>
        <w:sdtEndPr/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3324B4BD" w14:textId="37C02A64" w:rsidR="000A5F2E" w:rsidRDefault="000A5F2E" w:rsidP="00ED002E">
      <w:pPr>
        <w:ind w:left="720" w:hanging="720"/>
      </w:pPr>
    </w:p>
    <w:p w14:paraId="6527FCB9" w14:textId="4A1744A9" w:rsidR="00062DBC" w:rsidRPr="00062DBC" w:rsidRDefault="00062DBC" w:rsidP="00062DBC">
      <w:pPr>
        <w:pStyle w:val="Heading4"/>
        <w:rPr>
          <w:lang w:val="en-GB"/>
        </w:rPr>
      </w:pPr>
      <w:r>
        <w:rPr>
          <w:lang w:val="en-GB"/>
        </w:rPr>
        <w:t>Keeping technical resources appropriate</w:t>
      </w:r>
    </w:p>
    <w:p w14:paraId="22368D5B" w14:textId="719BAE99" w:rsidR="000A5F2E" w:rsidRDefault="000A5F2E" w:rsidP="00ED002E">
      <w:pPr>
        <w:pStyle w:val="BCAdotpoints"/>
        <w:numPr>
          <w:ilvl w:val="0"/>
          <w:numId w:val="0"/>
        </w:numPr>
        <w:ind w:left="360" w:hanging="360"/>
        <w:rPr>
          <w:rFonts w:cs="Univers 45 Light"/>
          <w:spacing w:val="1"/>
        </w:rPr>
      </w:pPr>
      <w:r>
        <w:t xml:space="preserve">The </w:t>
      </w:r>
      <w:r w:rsidR="00062DBC">
        <w:t>BCA</w:t>
      </w:r>
      <w:r>
        <w:t>:</w:t>
      </w:r>
    </w:p>
    <w:p w14:paraId="21D9959B" w14:textId="282893F0" w:rsidR="000A5F2E" w:rsidRPr="00401580" w:rsidRDefault="008A50B9" w:rsidP="00ED002E">
      <w:sdt>
        <w:sdtPr>
          <w:id w:val="-145401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2E">
            <w:rPr>
              <w:rFonts w:ascii="MS Gothic" w:eastAsia="MS Gothic" w:hAnsi="MS Gothic" w:hint="eastAsia"/>
            </w:rPr>
            <w:t>☐</w:t>
          </w:r>
        </w:sdtContent>
      </w:sdt>
      <w:r w:rsidR="00ED002E">
        <w:tab/>
      </w:r>
      <w:proofErr w:type="gramStart"/>
      <w:r w:rsidR="000A5F2E" w:rsidRPr="001C65CF">
        <w:t>identifies</w:t>
      </w:r>
      <w:proofErr w:type="gramEnd"/>
      <w:r w:rsidR="000A5F2E" w:rsidRPr="001C65CF">
        <w:t xml:space="preserve"> superseded information and archives that material</w:t>
      </w:r>
    </w:p>
    <w:p w14:paraId="334D21F8" w14:textId="7C0A09D8" w:rsidR="000A5F2E" w:rsidRPr="00401580" w:rsidRDefault="008A50B9" w:rsidP="00ED002E">
      <w:sdt>
        <w:sdtPr>
          <w:id w:val="-157673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2E">
            <w:rPr>
              <w:rFonts w:ascii="MS Gothic" w:eastAsia="MS Gothic" w:hAnsi="MS Gothic" w:hint="eastAsia"/>
            </w:rPr>
            <w:t>☐</w:t>
          </w:r>
        </w:sdtContent>
      </w:sdt>
      <w:r w:rsidR="00ED002E">
        <w:tab/>
      </w:r>
      <w:proofErr w:type="gramStart"/>
      <w:r w:rsidR="000A5F2E">
        <w:t>ensures</w:t>
      </w:r>
      <w:proofErr w:type="gramEnd"/>
      <w:r w:rsidR="000A5F2E">
        <w:t xml:space="preserve"> superseded information is updated with the relevant new information</w:t>
      </w:r>
    </w:p>
    <w:p w14:paraId="311CE596" w14:textId="5CF69DA1" w:rsidR="000A5F2E" w:rsidRPr="00401580" w:rsidRDefault="008A50B9" w:rsidP="00ED002E">
      <w:sdt>
        <w:sdtPr>
          <w:id w:val="-84447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2E">
            <w:rPr>
              <w:rFonts w:ascii="MS Gothic" w:eastAsia="MS Gothic" w:hAnsi="MS Gothic" w:hint="eastAsia"/>
            </w:rPr>
            <w:t>☐</w:t>
          </w:r>
        </w:sdtContent>
      </w:sdt>
      <w:r w:rsidR="00ED002E">
        <w:tab/>
      </w:r>
      <w:proofErr w:type="gramStart"/>
      <w:r w:rsidR="000A5F2E">
        <w:t>maintains</w:t>
      </w:r>
      <w:proofErr w:type="gramEnd"/>
      <w:r w:rsidR="000A5F2E">
        <w:t xml:space="preserve"> required facilities and equipment</w:t>
      </w:r>
    </w:p>
    <w:p w14:paraId="3CA071B3" w14:textId="61643949" w:rsidR="000A5F2E" w:rsidRDefault="008A50B9" w:rsidP="00ED002E">
      <w:sdt>
        <w:sdtPr>
          <w:id w:val="-102186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2E">
            <w:rPr>
              <w:rFonts w:ascii="MS Gothic" w:eastAsia="MS Gothic" w:hAnsi="MS Gothic" w:hint="eastAsia"/>
            </w:rPr>
            <w:t>☐</w:t>
          </w:r>
        </w:sdtContent>
      </w:sdt>
      <w:r w:rsidR="00ED002E">
        <w:tab/>
      </w:r>
      <w:proofErr w:type="gramStart"/>
      <w:r w:rsidR="000A5F2E" w:rsidRPr="001C65CF">
        <w:t>calibrates</w:t>
      </w:r>
      <w:proofErr w:type="gramEnd"/>
      <w:r w:rsidR="000A5F2E">
        <w:t xml:space="preserve"> measuring</w:t>
      </w:r>
      <w:r w:rsidR="000A5F2E" w:rsidRPr="001C65CF">
        <w:t xml:space="preserve"> equipment</w:t>
      </w:r>
    </w:p>
    <w:p w14:paraId="7236C16E" w14:textId="6C17A00E" w:rsidR="000A5F2E" w:rsidRDefault="008A50B9" w:rsidP="00ED002E">
      <w:sdt>
        <w:sdtPr>
          <w:id w:val="-69901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2E">
            <w:rPr>
              <w:rFonts w:ascii="MS Gothic" w:eastAsia="MS Gothic" w:hAnsi="MS Gothic" w:hint="eastAsia"/>
            </w:rPr>
            <w:t>☐</w:t>
          </w:r>
        </w:sdtContent>
      </w:sdt>
      <w:r w:rsidR="00ED002E">
        <w:tab/>
      </w:r>
      <w:proofErr w:type="gramStart"/>
      <w:r w:rsidR="000A5F2E" w:rsidRPr="001C65CF">
        <w:t>replaces</w:t>
      </w:r>
      <w:proofErr w:type="gramEnd"/>
      <w:r w:rsidR="000A5F2E" w:rsidRPr="001C65CF">
        <w:t xml:space="preserve"> </w:t>
      </w:r>
      <w:r w:rsidR="000A5F2E">
        <w:t>facilities and equipment where required.</w:t>
      </w:r>
    </w:p>
    <w:p w14:paraId="39A79E42" w14:textId="4CF7044D" w:rsidR="000A5F2E" w:rsidRDefault="000A5F2E" w:rsidP="00351D24">
      <w:pPr>
        <w:pStyle w:val="Heading4"/>
        <w:jc w:val="left"/>
      </w:pPr>
      <w:r>
        <w:t>Notes:</w:t>
      </w:r>
      <w:r w:rsidR="00ED002E">
        <w:t xml:space="preserve"> </w:t>
      </w:r>
      <w:sdt>
        <w:sdtPr>
          <w:id w:val="-83999285"/>
          <w:showingPlcHdr/>
        </w:sdtPr>
        <w:sdtEndPr/>
        <w:sdtContent>
          <w:r w:rsidR="00ED002E" w:rsidRPr="0029386A">
            <w:rPr>
              <w:rStyle w:val="PlaceholderText"/>
            </w:rPr>
            <w:t>Click here to enter text.</w:t>
          </w:r>
        </w:sdtContent>
      </w:sdt>
    </w:p>
    <w:p w14:paraId="79B1E01B" w14:textId="77777777" w:rsidR="00062DBC" w:rsidRDefault="00062DBC" w:rsidP="000A5F2E"/>
    <w:p w14:paraId="3A3F1F99" w14:textId="07854578" w:rsidR="00002E9A" w:rsidRDefault="008A50B9" w:rsidP="0068226E">
      <w:hyperlink r:id="rId9" w:history="1">
        <w:r w:rsidR="00002E9A" w:rsidRPr="00ED002E">
          <w:rPr>
            <w:rStyle w:val="Hyperlink"/>
          </w:rPr>
          <w:t>The regulation 14 regulatory guidance</w:t>
        </w:r>
      </w:hyperlink>
      <w:r w:rsidR="00002E9A">
        <w:t xml:space="preserve"> provides further information.</w:t>
      </w:r>
    </w:p>
    <w:p w14:paraId="679A77F4" w14:textId="2FBC378C" w:rsidR="00D004B5" w:rsidRDefault="00D004B5" w:rsidP="00D004B5">
      <w:pPr>
        <w:pStyle w:val="Heading4"/>
      </w:pPr>
      <w:r>
        <w:t>Of note:</w:t>
      </w:r>
    </w:p>
    <w:p w14:paraId="0122D118" w14:textId="1EC6D2E1" w:rsidR="00D004B5" w:rsidRDefault="00D004B5" w:rsidP="0068226E">
      <w:pPr>
        <w:rPr>
          <w:lang w:eastAsia="en-NZ"/>
        </w:rPr>
      </w:pPr>
      <w:r w:rsidRPr="00D004B5">
        <w:rPr>
          <w:lang w:eastAsia="en-NZ"/>
        </w:rPr>
        <w:t>The level of calibration required for any equipment is a matter fo</w:t>
      </w:r>
      <w:r>
        <w:rPr>
          <w:lang w:eastAsia="en-NZ"/>
        </w:rPr>
        <w:t xml:space="preserve">r the BCA to decide and record. </w:t>
      </w:r>
      <w:r w:rsidRPr="00D004B5">
        <w:rPr>
          <w:lang w:eastAsia="en-NZ"/>
        </w:rPr>
        <w:t xml:space="preserve">There is no accreditation requirement for a BCA to calibrate equipment to an international </w:t>
      </w:r>
      <w:proofErr w:type="gramStart"/>
      <w:r w:rsidRPr="00D004B5">
        <w:rPr>
          <w:lang w:eastAsia="en-NZ"/>
        </w:rPr>
        <w:t>standard,</w:t>
      </w:r>
      <w:proofErr w:type="gramEnd"/>
      <w:r w:rsidRPr="00D004B5">
        <w:rPr>
          <w:lang w:eastAsia="en-NZ"/>
        </w:rPr>
        <w:t xml:space="preserve"> however it may choose to do so if it wishes.</w:t>
      </w:r>
    </w:p>
    <w:p w14:paraId="75B48F9E" w14:textId="77777777" w:rsidR="005120E8" w:rsidRDefault="005120E8" w:rsidP="0068226E">
      <w:pPr>
        <w:rPr>
          <w:lang w:eastAsia="en-NZ"/>
        </w:rPr>
      </w:pPr>
    </w:p>
    <w:p w14:paraId="524E07C3" w14:textId="77777777" w:rsidR="005120E8" w:rsidRPr="00351D24" w:rsidRDefault="005120E8" w:rsidP="005120E8">
      <w:pPr>
        <w:keepNext/>
        <w:rPr>
          <w:b/>
          <w:u w:val="single"/>
        </w:rPr>
      </w:pPr>
      <w:r w:rsidRPr="00351D24">
        <w:rPr>
          <w:b/>
          <w:u w:val="single"/>
        </w:rPr>
        <w:t>Evidence of Policy/Procedure/System being completely and effectively implemented</w:t>
      </w:r>
    </w:p>
    <w:p w14:paraId="168C9969" w14:textId="77777777" w:rsidR="005120E8" w:rsidRDefault="005120E8" w:rsidP="00351D24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351D24">
            <w:rPr>
              <w:rStyle w:val="PlaceholderText"/>
              <w:b/>
              <w:i/>
            </w:rPr>
            <w:t>Click here to enter text.</w:t>
          </w:r>
        </w:sdtContent>
      </w:sdt>
    </w:p>
    <w:p w14:paraId="2AF69F67" w14:textId="77777777" w:rsidR="005120E8" w:rsidRPr="00972E7A" w:rsidRDefault="005120E8" w:rsidP="0068226E"/>
    <w:sectPr w:rsidR="005120E8" w:rsidRPr="00972E7A" w:rsidSect="009C1D84">
      <w:headerReference w:type="default" r:id="rId10"/>
      <w:footerReference w:type="default" r:id="rId11"/>
      <w:pgSz w:w="11906" w:h="16838"/>
      <w:pgMar w:top="1134" w:right="1134" w:bottom="1134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3CF56" w14:textId="77777777" w:rsidR="00970942" w:rsidRDefault="00970942" w:rsidP="00B63172">
      <w:pPr>
        <w:spacing w:before="0" w:after="0" w:line="240" w:lineRule="auto"/>
      </w:pPr>
      <w:r>
        <w:separator/>
      </w:r>
    </w:p>
  </w:endnote>
  <w:endnote w:type="continuationSeparator" w:id="0">
    <w:p w14:paraId="08C53D08" w14:textId="77777777" w:rsidR="00970942" w:rsidRDefault="00970942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0365B1F3" w14:textId="77777777" w:rsidR="00970942" w:rsidRDefault="009709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D12EA" w14:textId="2F2DA5C8" w:rsidR="009C1D84" w:rsidRDefault="009C1D84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A8595" w14:textId="77777777" w:rsidR="00970942" w:rsidRDefault="00970942" w:rsidP="00B63172">
      <w:pPr>
        <w:spacing w:before="0" w:after="0" w:line="240" w:lineRule="auto"/>
      </w:pPr>
      <w:r>
        <w:separator/>
      </w:r>
    </w:p>
  </w:footnote>
  <w:footnote w:type="continuationSeparator" w:id="0">
    <w:p w14:paraId="111BCB15" w14:textId="77777777" w:rsidR="00970942" w:rsidRDefault="00970942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3121E7D9" w14:textId="77777777" w:rsidR="00970942" w:rsidRDefault="0097094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E2EF8" w14:textId="60247F59" w:rsidR="00970942" w:rsidRPr="00FE32FA" w:rsidRDefault="009219D0" w:rsidP="00FE32FA">
    <w:pPr>
      <w:pStyle w:val="Header"/>
    </w:pPr>
    <w:r w:rsidRPr="00FE32FA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2C1A05EA" wp14:editId="139480FD">
          <wp:simplePos x="0" y="0"/>
          <wp:positionH relativeFrom="column">
            <wp:posOffset>29210</wp:posOffset>
          </wp:positionH>
          <wp:positionV relativeFrom="paragraph">
            <wp:posOffset>26035</wp:posOffset>
          </wp:positionV>
          <wp:extent cx="190881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FA" w:rsidRPr="00FE32FA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6B7E2B1F" wp14:editId="733665E6">
          <wp:simplePos x="0" y="0"/>
          <wp:positionH relativeFrom="column">
            <wp:posOffset>4339590</wp:posOffset>
          </wp:positionH>
          <wp:positionV relativeFrom="paragraph">
            <wp:posOffset>-1784350</wp:posOffset>
          </wp:positionV>
          <wp:extent cx="3907155" cy="24504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E950A8"/>
    <w:multiLevelType w:val="multilevel"/>
    <w:tmpl w:val="266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2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4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3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3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61"/>
  </w:num>
  <w:num w:numId="4">
    <w:abstractNumId w:val="49"/>
  </w:num>
  <w:num w:numId="5">
    <w:abstractNumId w:val="62"/>
  </w:num>
  <w:num w:numId="6">
    <w:abstractNumId w:val="83"/>
  </w:num>
  <w:num w:numId="7">
    <w:abstractNumId w:val="55"/>
  </w:num>
  <w:num w:numId="8">
    <w:abstractNumId w:val="53"/>
  </w:num>
  <w:num w:numId="9">
    <w:abstractNumId w:val="96"/>
  </w:num>
  <w:num w:numId="10">
    <w:abstractNumId w:val="105"/>
  </w:num>
  <w:num w:numId="11">
    <w:abstractNumId w:val="28"/>
  </w:num>
  <w:num w:numId="12">
    <w:abstractNumId w:val="51"/>
  </w:num>
  <w:num w:numId="13">
    <w:abstractNumId w:val="4"/>
  </w:num>
  <w:num w:numId="14">
    <w:abstractNumId w:val="50"/>
  </w:num>
  <w:num w:numId="15">
    <w:abstractNumId w:val="80"/>
  </w:num>
  <w:num w:numId="16">
    <w:abstractNumId w:val="3"/>
  </w:num>
  <w:num w:numId="17">
    <w:abstractNumId w:val="58"/>
  </w:num>
  <w:num w:numId="18">
    <w:abstractNumId w:val="47"/>
  </w:num>
  <w:num w:numId="19">
    <w:abstractNumId w:val="43"/>
  </w:num>
  <w:num w:numId="20">
    <w:abstractNumId w:val="85"/>
  </w:num>
  <w:num w:numId="21">
    <w:abstractNumId w:val="109"/>
  </w:num>
  <w:num w:numId="22">
    <w:abstractNumId w:val="13"/>
  </w:num>
  <w:num w:numId="23">
    <w:abstractNumId w:val="63"/>
  </w:num>
  <w:num w:numId="24">
    <w:abstractNumId w:val="1"/>
  </w:num>
  <w:num w:numId="25">
    <w:abstractNumId w:val="95"/>
  </w:num>
  <w:num w:numId="26">
    <w:abstractNumId w:val="23"/>
  </w:num>
  <w:num w:numId="27">
    <w:abstractNumId w:val="2"/>
  </w:num>
  <w:num w:numId="28">
    <w:abstractNumId w:val="32"/>
  </w:num>
  <w:num w:numId="29">
    <w:abstractNumId w:val="42"/>
  </w:num>
  <w:num w:numId="30">
    <w:abstractNumId w:val="18"/>
  </w:num>
  <w:num w:numId="31">
    <w:abstractNumId w:val="105"/>
    <w:lvlOverride w:ilvl="0">
      <w:startOverride w:val="1"/>
    </w:lvlOverride>
  </w:num>
  <w:num w:numId="32">
    <w:abstractNumId w:val="88"/>
  </w:num>
  <w:num w:numId="33">
    <w:abstractNumId w:val="68"/>
  </w:num>
  <w:num w:numId="34">
    <w:abstractNumId w:val="5"/>
  </w:num>
  <w:num w:numId="35">
    <w:abstractNumId w:val="78"/>
  </w:num>
  <w:num w:numId="36">
    <w:abstractNumId w:val="22"/>
  </w:num>
  <w:num w:numId="37">
    <w:abstractNumId w:val="15"/>
  </w:num>
  <w:num w:numId="38">
    <w:abstractNumId w:val="73"/>
  </w:num>
  <w:num w:numId="39">
    <w:abstractNumId w:val="99"/>
  </w:num>
  <w:num w:numId="40">
    <w:abstractNumId w:val="29"/>
  </w:num>
  <w:num w:numId="41">
    <w:abstractNumId w:val="16"/>
  </w:num>
  <w:num w:numId="42">
    <w:abstractNumId w:val="38"/>
  </w:num>
  <w:num w:numId="43">
    <w:abstractNumId w:val="36"/>
  </w:num>
  <w:num w:numId="44">
    <w:abstractNumId w:val="7"/>
  </w:num>
  <w:num w:numId="45">
    <w:abstractNumId w:val="110"/>
  </w:num>
  <w:num w:numId="46">
    <w:abstractNumId w:val="84"/>
  </w:num>
  <w:num w:numId="47">
    <w:abstractNumId w:val="101"/>
  </w:num>
  <w:num w:numId="48">
    <w:abstractNumId w:val="82"/>
  </w:num>
  <w:num w:numId="49">
    <w:abstractNumId w:val="24"/>
  </w:num>
  <w:num w:numId="50">
    <w:abstractNumId w:val="37"/>
  </w:num>
  <w:num w:numId="51">
    <w:abstractNumId w:val="56"/>
  </w:num>
  <w:num w:numId="52">
    <w:abstractNumId w:val="98"/>
  </w:num>
  <w:num w:numId="53">
    <w:abstractNumId w:val="52"/>
  </w:num>
  <w:num w:numId="54">
    <w:abstractNumId w:val="89"/>
  </w:num>
  <w:num w:numId="55">
    <w:abstractNumId w:val="21"/>
  </w:num>
  <w:num w:numId="56">
    <w:abstractNumId w:val="46"/>
  </w:num>
  <w:num w:numId="57">
    <w:abstractNumId w:val="31"/>
  </w:num>
  <w:num w:numId="58">
    <w:abstractNumId w:val="104"/>
  </w:num>
  <w:num w:numId="59">
    <w:abstractNumId w:val="66"/>
  </w:num>
  <w:num w:numId="60">
    <w:abstractNumId w:val="103"/>
  </w:num>
  <w:num w:numId="61">
    <w:abstractNumId w:val="11"/>
  </w:num>
  <w:num w:numId="62">
    <w:abstractNumId w:val="70"/>
  </w:num>
  <w:num w:numId="63">
    <w:abstractNumId w:val="74"/>
  </w:num>
  <w:num w:numId="64">
    <w:abstractNumId w:val="25"/>
  </w:num>
  <w:num w:numId="65">
    <w:abstractNumId w:val="105"/>
    <w:lvlOverride w:ilvl="0">
      <w:startOverride w:val="1"/>
    </w:lvlOverride>
  </w:num>
  <w:num w:numId="66">
    <w:abstractNumId w:val="54"/>
  </w:num>
  <w:num w:numId="67">
    <w:abstractNumId w:val="12"/>
  </w:num>
  <w:num w:numId="68">
    <w:abstractNumId w:val="10"/>
  </w:num>
  <w:num w:numId="69">
    <w:abstractNumId w:val="35"/>
  </w:num>
  <w:num w:numId="70">
    <w:abstractNumId w:val="30"/>
  </w:num>
  <w:num w:numId="71">
    <w:abstractNumId w:val="107"/>
  </w:num>
  <w:num w:numId="72">
    <w:abstractNumId w:val="93"/>
  </w:num>
  <w:num w:numId="73">
    <w:abstractNumId w:val="20"/>
  </w:num>
  <w:num w:numId="74">
    <w:abstractNumId w:val="67"/>
  </w:num>
  <w:num w:numId="75">
    <w:abstractNumId w:val="105"/>
    <w:lvlOverride w:ilvl="0">
      <w:startOverride w:val="1"/>
    </w:lvlOverride>
  </w:num>
  <w:num w:numId="76">
    <w:abstractNumId w:val="9"/>
  </w:num>
  <w:num w:numId="77">
    <w:abstractNumId w:val="33"/>
  </w:num>
  <w:num w:numId="78">
    <w:abstractNumId w:val="108"/>
  </w:num>
  <w:num w:numId="79">
    <w:abstractNumId w:val="102"/>
  </w:num>
  <w:num w:numId="80">
    <w:abstractNumId w:val="72"/>
  </w:num>
  <w:num w:numId="81">
    <w:abstractNumId w:val="65"/>
  </w:num>
  <w:num w:numId="82">
    <w:abstractNumId w:val="86"/>
  </w:num>
  <w:num w:numId="83">
    <w:abstractNumId w:val="44"/>
  </w:num>
  <w:num w:numId="84">
    <w:abstractNumId w:val="48"/>
  </w:num>
  <w:num w:numId="85">
    <w:abstractNumId w:val="40"/>
  </w:num>
  <w:num w:numId="86">
    <w:abstractNumId w:val="79"/>
  </w:num>
  <w:num w:numId="87">
    <w:abstractNumId w:val="77"/>
  </w:num>
  <w:num w:numId="88">
    <w:abstractNumId w:val="27"/>
  </w:num>
  <w:num w:numId="89">
    <w:abstractNumId w:val="71"/>
  </w:num>
  <w:num w:numId="90">
    <w:abstractNumId w:val="57"/>
  </w:num>
  <w:num w:numId="91">
    <w:abstractNumId w:val="39"/>
  </w:num>
  <w:num w:numId="92">
    <w:abstractNumId w:val="17"/>
  </w:num>
  <w:num w:numId="93">
    <w:abstractNumId w:val="34"/>
  </w:num>
  <w:num w:numId="94">
    <w:abstractNumId w:val="26"/>
  </w:num>
  <w:num w:numId="95">
    <w:abstractNumId w:val="106"/>
  </w:num>
  <w:num w:numId="96">
    <w:abstractNumId w:val="60"/>
  </w:num>
  <w:num w:numId="97">
    <w:abstractNumId w:val="8"/>
  </w:num>
  <w:num w:numId="98">
    <w:abstractNumId w:val="69"/>
  </w:num>
  <w:num w:numId="99">
    <w:abstractNumId w:val="87"/>
  </w:num>
  <w:num w:numId="100">
    <w:abstractNumId w:val="94"/>
  </w:num>
  <w:num w:numId="101">
    <w:abstractNumId w:val="97"/>
  </w:num>
  <w:num w:numId="102">
    <w:abstractNumId w:val="91"/>
  </w:num>
  <w:num w:numId="103">
    <w:abstractNumId w:val="59"/>
  </w:num>
  <w:num w:numId="104">
    <w:abstractNumId w:val="81"/>
  </w:num>
  <w:num w:numId="105">
    <w:abstractNumId w:val="64"/>
  </w:num>
  <w:num w:numId="106">
    <w:abstractNumId w:val="45"/>
  </w:num>
  <w:num w:numId="107">
    <w:abstractNumId w:val="100"/>
  </w:num>
  <w:num w:numId="108">
    <w:abstractNumId w:val="41"/>
  </w:num>
  <w:num w:numId="109">
    <w:abstractNumId w:val="14"/>
  </w:num>
  <w:num w:numId="110">
    <w:abstractNumId w:val="92"/>
  </w:num>
  <w:num w:numId="111">
    <w:abstractNumId w:val="76"/>
  </w:num>
  <w:num w:numId="112">
    <w:abstractNumId w:val="75"/>
  </w:num>
  <w:num w:numId="113">
    <w:abstractNumId w:val="90"/>
  </w:num>
  <w:num w:numId="114">
    <w:abstractNumId w:val="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5Pa0szS5fmHLDVk45+9BknTvBtg=" w:salt="etzOaC7bwqL2+2euu6VpMw==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2E9A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887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2DBC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54D5"/>
    <w:rsid w:val="000A5F2E"/>
    <w:rsid w:val="000A65AF"/>
    <w:rsid w:val="000A7231"/>
    <w:rsid w:val="000A7531"/>
    <w:rsid w:val="000A7683"/>
    <w:rsid w:val="000A773C"/>
    <w:rsid w:val="000B0BDC"/>
    <w:rsid w:val="000B253A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1DB5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1E3"/>
    <w:rsid w:val="0011733E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2E33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7DE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3BE4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3A10"/>
    <w:rsid w:val="00345693"/>
    <w:rsid w:val="00351D24"/>
    <w:rsid w:val="00353277"/>
    <w:rsid w:val="00353487"/>
    <w:rsid w:val="0035592C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6508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1580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30E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0E8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26E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51"/>
    <w:rsid w:val="007B7783"/>
    <w:rsid w:val="007B7D79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4C3B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5A73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6D3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0B9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19D0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5AB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0942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1D8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070E1"/>
    <w:rsid w:val="00A137E2"/>
    <w:rsid w:val="00A13E8A"/>
    <w:rsid w:val="00A14753"/>
    <w:rsid w:val="00A14F4E"/>
    <w:rsid w:val="00A17607"/>
    <w:rsid w:val="00A209A5"/>
    <w:rsid w:val="00A215F1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B2F"/>
    <w:rsid w:val="00A43FFA"/>
    <w:rsid w:val="00A44295"/>
    <w:rsid w:val="00A449E6"/>
    <w:rsid w:val="00A457E7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1222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692F"/>
    <w:rsid w:val="00A803EC"/>
    <w:rsid w:val="00A80795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80D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4B5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3BA9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AA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02E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4D74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2FA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96D3A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6D3A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ED00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96D3A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6D3A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ED0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ilding.govt.nz/building-officials/bca-accreditation/detailed-regulatory-guidance/14-necessary-technical-resourc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8C24-CD45-4AA7-9154-F42A8AF4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11215DAF</Template>
  <TotalTime>29</TotalTime>
  <Pages>1</Pages>
  <Words>188</Words>
  <Characters>1154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14 – Ensuring necessary technical resources</vt:lpstr>
    </vt:vector>
  </TitlesOfParts>
  <Manager>45314211</Manager>
  <Company>Ministry of Business, Innovation and Employment</Company>
  <LinksUpToDate>false</LinksUpToDate>
  <CharactersWithSpaces>1322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14 – Ensuring necessary technical resources</dc:title>
  <dc:creator/>
  <dc:description/>
  <cp:lastModifiedBy>Penelope Whitson</cp:lastModifiedBy>
  <cp:revision>12</cp:revision>
  <cp:lastPrinted>2016-12-22T22:31:00Z</cp:lastPrinted>
  <dcterms:created xsi:type="dcterms:W3CDTF">2017-09-24T21:06:00Z</dcterms:created>
  <dcterms:modified xsi:type="dcterms:W3CDTF">2017-11-21T01:28:00Z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